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F8A3020" w14:textId="77777777" w:rsidR="00F221E4" w:rsidRDefault="00F221E4" w:rsidP="009531A2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ADB3DAA" w14:textId="77777777" w:rsidR="009531A2" w:rsidRDefault="007A743C" w:rsidP="009531A2">
      <w:pPr>
        <w:tabs>
          <w:tab w:val="center" w:pos="4536"/>
          <w:tab w:val="right" w:pos="9072"/>
        </w:tabs>
        <w:spacing w:after="0" w:line="276" w:lineRule="auto"/>
        <w:ind w:left="1701" w:hanging="1559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</w:p>
    <w:p w14:paraId="45A1DDA9" w14:textId="440DAD85" w:rsidR="003C0BB2" w:rsidRPr="009531A2" w:rsidRDefault="00B624A1" w:rsidP="009531A2">
      <w:pPr>
        <w:tabs>
          <w:tab w:val="center" w:pos="4536"/>
          <w:tab w:val="right" w:pos="9072"/>
        </w:tabs>
        <w:spacing w:after="0" w:line="276" w:lineRule="auto"/>
        <w:ind w:left="1701" w:hanging="1559"/>
        <w:rPr>
          <w:rFonts w:cs="Calibri"/>
          <w:b/>
          <w:bCs/>
          <w:sz w:val="24"/>
          <w:szCs w:val="24"/>
        </w:rPr>
      </w:pPr>
      <w:r w:rsidRPr="009531A2">
        <w:rPr>
          <w:rFonts w:cs="Calibri"/>
          <w:b/>
          <w:bCs/>
          <w:sz w:val="24"/>
          <w:szCs w:val="24"/>
        </w:rPr>
        <w:t>Léčivý přípravek ATC skupiny J05AP57 s účinnou látkou GLEKAPREVIR A PIBRENTASVIR</w:t>
      </w:r>
    </w:p>
    <w:p w14:paraId="6D2D6A9D" w14:textId="77777777" w:rsidR="00205A8F" w:rsidRDefault="00205A8F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531A2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624A1"/>
    <w:rsid w:val="00B709DF"/>
    <w:rsid w:val="00B72F38"/>
    <w:rsid w:val="00B763BB"/>
    <w:rsid w:val="00B77DC5"/>
    <w:rsid w:val="00B77E1C"/>
    <w:rsid w:val="00B800B1"/>
    <w:rsid w:val="00B825CE"/>
    <w:rsid w:val="00B8260C"/>
    <w:rsid w:val="00B84216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687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2025-03-10T19:27:00Z</dcterms:created>
  <dcterms:modified xsi:type="dcterms:W3CDTF">2025-08-12T11:36:00Z</dcterms:modified>
</cp:coreProperties>
</file>